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EDD1" w14:textId="369DBF73" w:rsidR="008A74E0" w:rsidRPr="00660BD0" w:rsidRDefault="00020E2C" w:rsidP="008A74E0">
      <w:pPr>
        <w:jc w:val="center"/>
        <w:rPr>
          <w:rFonts w:ascii="Rag Sans-1.4" w:hAnsi="Rag Sans-1.4" w:cs="Rag Sans-1.4"/>
          <w:b/>
          <w:bCs/>
          <w:sz w:val="32"/>
          <w:szCs w:val="32"/>
          <w:u w:val="single"/>
          <w:rtl/>
        </w:rPr>
      </w:pPr>
      <w:r>
        <w:rPr>
          <w:rFonts w:ascii="Rag Sans-1.4" w:hAnsi="Rag Sans-1.4" w:cs="Rag Sans-1.4" w:hint="cs"/>
          <w:b/>
          <w:bCs/>
          <w:sz w:val="32"/>
          <w:szCs w:val="32"/>
          <w:u w:val="single"/>
          <w:rtl/>
        </w:rPr>
        <w:t>פרטים בנוגע למסגרת הכללית של ההיערכות לזיהוי ולטיפול בחובות בעייתיים</w:t>
      </w:r>
    </w:p>
    <w:p w14:paraId="1279406C" w14:textId="77777777" w:rsidR="008A74E0" w:rsidRPr="00660BD0" w:rsidRDefault="008A74E0" w:rsidP="008A74E0">
      <w:pPr>
        <w:spacing w:line="360" w:lineRule="auto"/>
        <w:rPr>
          <w:rFonts w:ascii="Rag Sans-1.4" w:hAnsi="Rag Sans-1.4" w:cs="Rag Sans-1.4"/>
          <w:rtl/>
        </w:rPr>
      </w:pPr>
    </w:p>
    <w:p w14:paraId="50A92C60" w14:textId="5CC66FD9" w:rsidR="008A74E0" w:rsidRDefault="008A74E0" w:rsidP="008A74E0">
      <w:pPr>
        <w:spacing w:line="360" w:lineRule="auto"/>
        <w:rPr>
          <w:rFonts w:ascii="Rag Sans-1.4" w:hAnsi="Rag Sans-1.4" w:cs="Rag Sans-1.4"/>
          <w:rtl/>
        </w:rPr>
      </w:pPr>
      <w:r w:rsidRPr="00660BD0">
        <w:rPr>
          <w:rFonts w:ascii="Rag Sans-1.4" w:hAnsi="Rag Sans-1.4" w:cs="Rag Sans-1.4"/>
          <w:rtl/>
        </w:rPr>
        <w:t>העמדת אשראי הינה חלק מפעילות ההשקעות של קרנות הפנסיה הוותיקות</w:t>
      </w:r>
      <w:r w:rsidR="005148D1">
        <w:rPr>
          <w:rFonts w:ascii="Rag Sans-1.4" w:hAnsi="Rag Sans-1.4" w:cs="Rag Sans-1.4" w:hint="cs"/>
          <w:rtl/>
        </w:rPr>
        <w:t xml:space="preserve"> (להלן: "</w:t>
      </w:r>
      <w:r w:rsidR="005148D1" w:rsidRPr="00544161">
        <w:rPr>
          <w:rFonts w:ascii="Rag Sans-1.4" w:hAnsi="Rag Sans-1.4" w:cs="Rag Sans-1.4" w:hint="eastAsia"/>
          <w:b/>
          <w:bCs/>
          <w:rtl/>
        </w:rPr>
        <w:t>עמיתים</w:t>
      </w:r>
      <w:r w:rsidR="005148D1">
        <w:rPr>
          <w:rFonts w:ascii="Rag Sans-1.4" w:hAnsi="Rag Sans-1.4" w:cs="Rag Sans-1.4" w:hint="cs"/>
          <w:rtl/>
        </w:rPr>
        <w:t>")</w:t>
      </w:r>
      <w:r w:rsidRPr="00660BD0">
        <w:rPr>
          <w:rFonts w:ascii="Rag Sans-1.4" w:hAnsi="Rag Sans-1.4" w:cs="Rag Sans-1.4"/>
          <w:rtl/>
        </w:rPr>
        <w:t>, שתכליתה לעמוד בהתחייבות לעמיתי הקרנות הוותיקות.</w:t>
      </w:r>
    </w:p>
    <w:p w14:paraId="14C54654" w14:textId="7372CDEE" w:rsidR="00020E2C" w:rsidRDefault="00020E2C" w:rsidP="008A74E0">
      <w:pPr>
        <w:spacing w:line="360" w:lineRule="auto"/>
        <w:rPr>
          <w:rFonts w:ascii="Rag Sans-1.4" w:hAnsi="Rag Sans-1.4" w:cs="Rag Sans-1.4"/>
          <w:rtl/>
        </w:rPr>
      </w:pPr>
      <w:r>
        <w:rPr>
          <w:rFonts w:ascii="Rag Sans-1.4" w:hAnsi="Rag Sans-1.4" w:cs="Rag Sans-1.4" w:hint="cs"/>
          <w:rtl/>
        </w:rPr>
        <w:t>עמיתים קבעה מסגרת של כללים ועקרונות לניהול סיכוני האשראי בתיק וכן לתמיכה ניהולית, מקצועית ותפעולית בכל הקשור להעמדת אשראי כאמור, ובכלל זה קיומם של מנגנוני פיקוח ובקרה נאותים והכל בהתאם, בין היתר, לרגולציה אליה כפופה עמיתים.</w:t>
      </w:r>
    </w:p>
    <w:p w14:paraId="45320C31" w14:textId="694AB0E7" w:rsidR="00423A9E" w:rsidRPr="00660BD0" w:rsidRDefault="00423A9E" w:rsidP="008A74E0">
      <w:pPr>
        <w:spacing w:line="360" w:lineRule="auto"/>
        <w:rPr>
          <w:rFonts w:ascii="Rag Sans-1.4" w:hAnsi="Rag Sans-1.4" w:cs="Rag Sans-1.4"/>
          <w:rtl/>
        </w:rPr>
      </w:pPr>
      <w:r>
        <w:rPr>
          <w:rFonts w:ascii="Rag Sans-1.4" w:hAnsi="Rag Sans-1.4" w:cs="Rag Sans-1.4" w:hint="cs"/>
          <w:rtl/>
        </w:rPr>
        <w:t xml:space="preserve">בהתבסס על נהלי עמיתים לעניין אשראי ולעניין טיפול בחובות בעייתיים, עמיתים הסמיכה צוות מקצועי לאיתור ולטיפול בחובות בעייתיים (להלן: </w:t>
      </w:r>
      <w:r w:rsidR="005148D1">
        <w:rPr>
          <w:rFonts w:ascii="Rag Sans-1.4" w:hAnsi="Rag Sans-1.4" w:cs="Rag Sans-1.4" w:hint="cs"/>
          <w:rtl/>
        </w:rPr>
        <w:t>"</w:t>
      </w:r>
      <w:r w:rsidRPr="00544161">
        <w:rPr>
          <w:rFonts w:ascii="Rag Sans-1.4" w:hAnsi="Rag Sans-1.4" w:cs="Rag Sans-1.4" w:hint="eastAsia"/>
          <w:b/>
          <w:bCs/>
          <w:rtl/>
        </w:rPr>
        <w:t>מרכז</w:t>
      </w:r>
      <w:r w:rsidRPr="00544161">
        <w:rPr>
          <w:rFonts w:ascii="Rag Sans-1.4" w:hAnsi="Rag Sans-1.4" w:cs="Rag Sans-1.4"/>
          <w:b/>
          <w:bCs/>
          <w:rtl/>
        </w:rPr>
        <w:t xml:space="preserve"> </w:t>
      </w:r>
      <w:r w:rsidRPr="00544161">
        <w:rPr>
          <w:rFonts w:ascii="Rag Sans-1.4" w:hAnsi="Rag Sans-1.4" w:cs="Rag Sans-1.4" w:hint="eastAsia"/>
          <w:b/>
          <w:bCs/>
          <w:rtl/>
        </w:rPr>
        <w:t>חובות</w:t>
      </w:r>
      <w:r w:rsidRPr="00544161">
        <w:rPr>
          <w:rFonts w:ascii="Rag Sans-1.4" w:hAnsi="Rag Sans-1.4" w:cs="Rag Sans-1.4"/>
          <w:b/>
          <w:bCs/>
          <w:rtl/>
        </w:rPr>
        <w:t xml:space="preserve"> </w:t>
      </w:r>
      <w:r w:rsidRPr="00544161">
        <w:rPr>
          <w:rFonts w:ascii="Rag Sans-1.4" w:hAnsi="Rag Sans-1.4" w:cs="Rag Sans-1.4" w:hint="eastAsia"/>
          <w:b/>
          <w:bCs/>
          <w:rtl/>
        </w:rPr>
        <w:t>בעייתיים</w:t>
      </w:r>
      <w:r w:rsidR="005148D1">
        <w:rPr>
          <w:rFonts w:ascii="Rag Sans-1.4" w:hAnsi="Rag Sans-1.4" w:cs="Rag Sans-1.4" w:hint="cs"/>
          <w:rtl/>
        </w:rPr>
        <w:t>"</w:t>
      </w:r>
      <w:r>
        <w:rPr>
          <w:rFonts w:ascii="Rag Sans-1.4" w:hAnsi="Rag Sans-1.4" w:cs="Rag Sans-1.4" w:hint="cs"/>
          <w:rtl/>
        </w:rPr>
        <w:t>), כשישנה הפרדה בין מרכז חובות בעייתיים סחיר לבין מרכז חובות בעייתיים לא סחיר.</w:t>
      </w:r>
    </w:p>
    <w:p w14:paraId="202D65E3" w14:textId="58C89C3C" w:rsidR="008A74E0" w:rsidRPr="00660BD0" w:rsidRDefault="000863EF" w:rsidP="008A74E0">
      <w:pPr>
        <w:spacing w:line="360" w:lineRule="auto"/>
        <w:rPr>
          <w:rFonts w:ascii="Rag Sans-1.4" w:hAnsi="Rag Sans-1.4" w:cs="Rag Sans-1.4"/>
          <w:b/>
          <w:bCs/>
          <w:u w:val="single"/>
          <w:rtl/>
        </w:rPr>
      </w:pPr>
      <w:r w:rsidRPr="00EC3B0F">
        <w:rPr>
          <w:rFonts w:ascii="Rag Sans-1.4" w:hAnsi="Rag Sans-1.4" w:cs="Rag Sans-1.4" w:hint="cs"/>
          <w:b/>
          <w:bCs/>
          <w:u w:val="single"/>
          <w:rtl/>
        </w:rPr>
        <w:t>בהתאם להוראות החוזר להלן פרטים עיקריים בדבר המס</w:t>
      </w:r>
      <w:r w:rsidR="00CB60DB">
        <w:rPr>
          <w:rFonts w:ascii="Rag Sans-1.4" w:hAnsi="Rag Sans-1.4" w:cs="Rag Sans-1.4" w:hint="cs"/>
          <w:b/>
          <w:bCs/>
          <w:u w:val="single"/>
          <w:rtl/>
        </w:rPr>
        <w:t>ג</w:t>
      </w:r>
      <w:r w:rsidRPr="00EC3B0F">
        <w:rPr>
          <w:rFonts w:ascii="Rag Sans-1.4" w:hAnsi="Rag Sans-1.4" w:cs="Rag Sans-1.4" w:hint="cs"/>
          <w:b/>
          <w:bCs/>
          <w:u w:val="single"/>
          <w:rtl/>
        </w:rPr>
        <w:t>רת הכללית בה מזוהים ומטופלים החובות הבעייתיים</w:t>
      </w:r>
      <w:r w:rsidRPr="00EC3B0F">
        <w:rPr>
          <w:rStyle w:val="ae"/>
          <w:rFonts w:ascii="Rag Sans-1.4" w:hAnsi="Rag Sans-1.4" w:cs="Rag Sans-1.4"/>
          <w:b/>
          <w:bCs/>
          <w:sz w:val="32"/>
          <w:szCs w:val="32"/>
          <w:u w:val="single"/>
          <w:rtl/>
        </w:rPr>
        <w:footnoteReference w:id="1"/>
      </w:r>
      <w:r w:rsidRPr="00EC3B0F">
        <w:rPr>
          <w:rFonts w:ascii="Rag Sans-1.4" w:hAnsi="Rag Sans-1.4" w:cs="Rag Sans-1.4" w:hint="cs"/>
          <w:b/>
          <w:bCs/>
          <w:u w:val="single"/>
          <w:rtl/>
        </w:rPr>
        <w:t>:</w:t>
      </w:r>
      <w:r w:rsidR="008A74E0" w:rsidRPr="00660BD0">
        <w:rPr>
          <w:rFonts w:ascii="Rag Sans-1.4" w:hAnsi="Rag Sans-1.4" w:cs="Rag Sans-1.4"/>
          <w:b/>
          <w:bCs/>
          <w:u w:val="single"/>
          <w:rtl/>
        </w:rPr>
        <w:t>היערכות לזיהוי ולטיפול בחובות בעייתיים</w:t>
      </w:r>
    </w:p>
    <w:p w14:paraId="08AA766E" w14:textId="68DFF45D" w:rsidR="008A74E0" w:rsidRPr="00660BD0" w:rsidRDefault="008A74E0" w:rsidP="00CB60DB">
      <w:pPr>
        <w:spacing w:line="360" w:lineRule="auto"/>
        <w:rPr>
          <w:rFonts w:ascii="Rag Sans-1.4" w:hAnsi="Rag Sans-1.4" w:cs="Rag Sans-1.4"/>
          <w:rtl/>
        </w:rPr>
      </w:pPr>
      <w:r w:rsidRPr="00660BD0">
        <w:rPr>
          <w:rFonts w:ascii="Rag Sans-1.4" w:hAnsi="Rag Sans-1.4" w:cs="Rag Sans-1.4"/>
          <w:rtl/>
        </w:rPr>
        <w:t xml:space="preserve">זיהוי חוב בעייתי יעשה ע"י אחד מהגורמים הבאים: מנהל חטיבת ההשקעות, </w:t>
      </w:r>
      <w:r w:rsidR="00CB60DB">
        <w:rPr>
          <w:rFonts w:ascii="Rag Sans-1.4" w:hAnsi="Rag Sans-1.4" w:cs="Rag Sans-1.4" w:hint="cs"/>
          <w:rtl/>
        </w:rPr>
        <w:t xml:space="preserve">אגף </w:t>
      </w:r>
      <w:proofErr w:type="spellStart"/>
      <w:r w:rsidR="00CB60DB">
        <w:rPr>
          <w:rFonts w:ascii="Rag Sans-1.4" w:hAnsi="Rag Sans-1.4" w:cs="Rag Sans-1.4" w:hint="cs"/>
          <w:rtl/>
        </w:rPr>
        <w:t>חשבות</w:t>
      </w:r>
      <w:proofErr w:type="spellEnd"/>
      <w:r w:rsidR="00CB60DB">
        <w:rPr>
          <w:rFonts w:ascii="Rag Sans-1.4" w:hAnsi="Rag Sans-1.4" w:cs="Rag Sans-1.4" w:hint="cs"/>
          <w:rtl/>
        </w:rPr>
        <w:t xml:space="preserve"> השקעות</w:t>
      </w:r>
      <w:r w:rsidRPr="00660BD0">
        <w:rPr>
          <w:rFonts w:ascii="Rag Sans-1.4" w:hAnsi="Rag Sans-1.4" w:cs="Rag Sans-1.4"/>
          <w:rtl/>
        </w:rPr>
        <w:t>, מנהלי התחומים ו</w:t>
      </w:r>
      <w:r w:rsidR="005148D1">
        <w:rPr>
          <w:rFonts w:ascii="Rag Sans-1.4" w:hAnsi="Rag Sans-1.4" w:cs="Rag Sans-1.4" w:hint="cs"/>
          <w:rtl/>
        </w:rPr>
        <w:t xml:space="preserve">מנהלי </w:t>
      </w:r>
      <w:r w:rsidRPr="00660BD0">
        <w:rPr>
          <w:rFonts w:ascii="Rag Sans-1.4" w:hAnsi="Rag Sans-1.4" w:cs="Rag Sans-1.4"/>
          <w:rtl/>
        </w:rPr>
        <w:t>השקעות מתחום האשראי</w:t>
      </w:r>
      <w:r w:rsidR="00CB60DB">
        <w:rPr>
          <w:rFonts w:ascii="Rag Sans-1.4" w:hAnsi="Rag Sans-1.4" w:cs="Rag Sans-1.4" w:hint="cs"/>
          <w:rtl/>
        </w:rPr>
        <w:t>,</w:t>
      </w:r>
      <w:r w:rsidRPr="00660BD0">
        <w:rPr>
          <w:rFonts w:ascii="Rag Sans-1.4" w:hAnsi="Rag Sans-1.4" w:cs="Rag Sans-1.4"/>
          <w:rtl/>
        </w:rPr>
        <w:t xml:space="preserve"> האג"ח</w:t>
      </w:r>
      <w:r w:rsidR="00CB60DB">
        <w:rPr>
          <w:rFonts w:ascii="Rag Sans-1.4" w:hAnsi="Rag Sans-1.4" w:cs="Rag Sans-1.4" w:hint="cs"/>
          <w:rtl/>
        </w:rPr>
        <w:t>, המחקר ו</w:t>
      </w:r>
      <w:r w:rsidRPr="00660BD0">
        <w:rPr>
          <w:rFonts w:ascii="Rag Sans-1.4" w:hAnsi="Rag Sans-1.4" w:cs="Rag Sans-1.4"/>
          <w:rtl/>
        </w:rPr>
        <w:t>בקרה וניתוח השקעות.</w:t>
      </w:r>
    </w:p>
    <w:p w14:paraId="0E8E1FF3" w14:textId="2A45B290" w:rsidR="008A74E0" w:rsidRPr="00660BD0" w:rsidRDefault="008A74E0" w:rsidP="008A74E0">
      <w:pPr>
        <w:spacing w:line="360" w:lineRule="auto"/>
        <w:rPr>
          <w:rFonts w:ascii="Rag Sans-1.4" w:hAnsi="Rag Sans-1.4" w:cs="Rag Sans-1.4"/>
          <w:rtl/>
        </w:rPr>
      </w:pPr>
      <w:r w:rsidRPr="00660BD0">
        <w:rPr>
          <w:rFonts w:ascii="Rag Sans-1.4" w:hAnsi="Rag Sans-1.4" w:cs="Rag Sans-1.4"/>
          <w:rtl/>
        </w:rPr>
        <w:t xml:space="preserve">זיהוי כאמור יתבסס בין היתר על אי עמידה בתשלומים, ירידה באיכות האשראי הנובעת משינויים במצבם הפיננסי של הלווים ובכושר הפירעון שלהם כפי שתבוא לידי ביטוי במגוון אינדיקציות, אי עמידתם של הלווים בסעיפי הסכם ההלוואה (התניות פיננסיות ואחרות), פגיעה בשווי הביטחונות שניתנו להבטחת החוב, שינויים במעמדו של בעל החוב וקדימות החוב. וזאת כפי שיבוא לידי ביטוי באמצעות מידע שיתקבל מהאגף העורפי, מהמעקב השוטף שמתבצע אחר מצב הלווה ומצב החוב באמצעים שונים (לרבות מערכות מעקב ובקרה), בחינה שוטפת של מצב הביטחונות, דיווחים של החברה המנפיקה (מערכת המאיה), מעקבי דירוג של חב' הדירוג, הודעות שונות מהנאמן של אגרות החוב ואינדיקטורים מהשוק המשני הסחיר. מיד עם זיהויו של חוב בעייתי, ידווח הגורם המזהה אודותיו למרכז </w:t>
      </w:r>
      <w:r w:rsidR="00FC0402">
        <w:rPr>
          <w:rFonts w:ascii="Rag Sans-1.4" w:hAnsi="Rag Sans-1.4" w:cs="Rag Sans-1.4" w:hint="cs"/>
          <w:rtl/>
        </w:rPr>
        <w:t>חובות בעייתיים</w:t>
      </w:r>
      <w:r w:rsidRPr="00660BD0">
        <w:rPr>
          <w:rFonts w:ascii="Rag Sans-1.4" w:hAnsi="Rag Sans-1.4" w:cs="Rag Sans-1.4"/>
          <w:rtl/>
        </w:rPr>
        <w:t xml:space="preserve"> ולמנהל החטיבה.</w:t>
      </w:r>
    </w:p>
    <w:p w14:paraId="7D6C536A" w14:textId="4EE01228" w:rsidR="008A74E0" w:rsidRPr="00660BD0" w:rsidRDefault="008A74E0" w:rsidP="008A74E0">
      <w:pPr>
        <w:spacing w:line="360" w:lineRule="auto"/>
        <w:rPr>
          <w:rFonts w:ascii="Rag Sans-1.4" w:hAnsi="Rag Sans-1.4" w:cs="Rag Sans-1.4"/>
          <w:rtl/>
        </w:rPr>
      </w:pPr>
      <w:r w:rsidRPr="00660BD0">
        <w:rPr>
          <w:rFonts w:ascii="Rag Sans-1.4" w:hAnsi="Rag Sans-1.4" w:cs="Rag Sans-1.4"/>
          <w:rtl/>
        </w:rPr>
        <w:t xml:space="preserve">הטיפול בחוב שזוהה כבעייתי יהיה במסגרת </w:t>
      </w:r>
      <w:r w:rsidR="005148D1">
        <w:rPr>
          <w:rFonts w:ascii="Rag Sans-1.4" w:hAnsi="Rag Sans-1.4" w:cs="Rag Sans-1.4" w:hint="cs"/>
          <w:rtl/>
        </w:rPr>
        <w:t>מרכז חובות בעיתיים</w:t>
      </w:r>
      <w:r w:rsidRPr="00660BD0">
        <w:rPr>
          <w:rFonts w:ascii="Rag Sans-1.4" w:hAnsi="Rag Sans-1.4" w:cs="Rag Sans-1.4"/>
          <w:rtl/>
        </w:rPr>
        <w:t>, ש</w:t>
      </w:r>
      <w:r w:rsidR="005148D1">
        <w:rPr>
          <w:rFonts w:ascii="Rag Sans-1.4" w:hAnsi="Rag Sans-1.4" w:cs="Rag Sans-1.4" w:hint="cs"/>
          <w:rtl/>
        </w:rPr>
        <w:t>לפי הגדרת עמיתים הוא הפורום ה</w:t>
      </w:r>
      <w:r w:rsidRPr="00660BD0">
        <w:rPr>
          <w:rFonts w:ascii="Rag Sans-1.4" w:hAnsi="Rag Sans-1.4" w:cs="Rag Sans-1.4"/>
          <w:rtl/>
        </w:rPr>
        <w:t>אחראי לביצוע תהליך הערכת חוב לחובות שזוהו כחובות בעייתיים, ובקבלת החלטות על אופן הטיפול בחובות בעייתיים.</w:t>
      </w:r>
    </w:p>
    <w:p w14:paraId="3FC8F4CE" w14:textId="77777777" w:rsidR="008A74E0" w:rsidRPr="00660BD0" w:rsidRDefault="008A74E0" w:rsidP="008A74E0">
      <w:pPr>
        <w:spacing w:line="360" w:lineRule="auto"/>
        <w:rPr>
          <w:rFonts w:ascii="Rag Sans-1.4" w:hAnsi="Rag Sans-1.4" w:cs="Rag Sans-1.4"/>
          <w:rtl/>
        </w:rPr>
      </w:pPr>
    </w:p>
    <w:p w14:paraId="1B6460E0" w14:textId="77777777" w:rsidR="008A74E0" w:rsidRPr="00660BD0" w:rsidRDefault="008A74E0" w:rsidP="008A74E0">
      <w:pPr>
        <w:spacing w:line="360" w:lineRule="auto"/>
        <w:rPr>
          <w:rFonts w:ascii="Rag Sans-1.4" w:hAnsi="Rag Sans-1.4" w:cs="Rag Sans-1.4"/>
          <w:b/>
          <w:bCs/>
          <w:sz w:val="32"/>
          <w:szCs w:val="32"/>
          <w:u w:val="single"/>
          <w:rtl/>
        </w:rPr>
      </w:pPr>
      <w:r w:rsidRPr="00660BD0">
        <w:rPr>
          <w:rFonts w:ascii="Rag Sans-1.4" w:hAnsi="Rag Sans-1.4" w:cs="Rag Sans-1.4"/>
          <w:b/>
          <w:bCs/>
          <w:sz w:val="32"/>
          <w:szCs w:val="32"/>
          <w:u w:val="single"/>
          <w:rtl/>
        </w:rPr>
        <w:t>תהליך זיהוי חובות בעייתיים וטיפול בהם</w:t>
      </w:r>
    </w:p>
    <w:p w14:paraId="74E52346" w14:textId="27B81C24" w:rsidR="008A74E0" w:rsidRPr="00D73252" w:rsidRDefault="008A74E0" w:rsidP="00D73252">
      <w:pPr>
        <w:pStyle w:val="ab"/>
        <w:numPr>
          <w:ilvl w:val="0"/>
          <w:numId w:val="3"/>
        </w:numPr>
        <w:spacing w:line="360" w:lineRule="auto"/>
        <w:rPr>
          <w:rFonts w:ascii="Rag Sans-1.4" w:hAnsi="Rag Sans-1.4" w:cs="Rag Sans-1.4"/>
          <w:rtl/>
        </w:rPr>
      </w:pPr>
      <w:r w:rsidRPr="00D73252">
        <w:rPr>
          <w:rFonts w:ascii="Rag Sans-1.4" w:hAnsi="Rag Sans-1.4" w:cs="Rag Sans-1.4"/>
          <w:b/>
          <w:bCs/>
          <w:u w:val="single"/>
          <w:rtl/>
        </w:rPr>
        <w:lastRenderedPageBreak/>
        <w:t>מעקב שוטף אחר חובות –</w:t>
      </w:r>
      <w:r w:rsidRPr="00D73252">
        <w:rPr>
          <w:rFonts w:ascii="Rag Sans-1.4" w:hAnsi="Rag Sans-1.4" w:cs="Rag Sans-1.4"/>
          <w:rtl/>
        </w:rPr>
        <w:t xml:space="preserve"> בדיקת סילוק התשלומים לפי הסכמי אשראי, עמידה </w:t>
      </w:r>
      <w:r w:rsidR="00931916" w:rsidRPr="00D73252">
        <w:rPr>
          <w:rFonts w:ascii="Rag Sans-1.4" w:hAnsi="Rag Sans-1.4" w:cs="Rag Sans-1.4" w:hint="cs"/>
          <w:rtl/>
        </w:rPr>
        <w:t>הלווים ב</w:t>
      </w:r>
      <w:r w:rsidR="005148D1">
        <w:rPr>
          <w:rFonts w:ascii="Rag Sans-1.4" w:hAnsi="Rag Sans-1.4" w:cs="Rag Sans-1.4" w:hint="cs"/>
          <w:rtl/>
        </w:rPr>
        <w:t>ה</w:t>
      </w:r>
      <w:r w:rsidR="00931916" w:rsidRPr="00D73252">
        <w:rPr>
          <w:rFonts w:ascii="Rag Sans-1.4" w:hAnsi="Rag Sans-1.4" w:cs="Rag Sans-1.4" w:hint="cs"/>
          <w:rtl/>
        </w:rPr>
        <w:t>תניות חוזיות ואמות מידה פיננסיות (</w:t>
      </w:r>
      <w:proofErr w:type="spellStart"/>
      <w:r w:rsidRPr="00D73252">
        <w:rPr>
          <w:rFonts w:ascii="Rag Sans-1.4" w:hAnsi="Rag Sans-1.4" w:cs="Rag Sans-1.4"/>
          <w:rtl/>
        </w:rPr>
        <w:t>קובננטים</w:t>
      </w:r>
      <w:proofErr w:type="spellEnd"/>
      <w:r w:rsidR="00931916" w:rsidRPr="00D73252">
        <w:rPr>
          <w:rFonts w:ascii="Rag Sans-1.4" w:hAnsi="Rag Sans-1.4" w:cs="Rag Sans-1.4" w:hint="cs"/>
          <w:rtl/>
        </w:rPr>
        <w:t>)</w:t>
      </w:r>
      <w:r w:rsidRPr="00D73252">
        <w:rPr>
          <w:rFonts w:ascii="Rag Sans-1.4" w:hAnsi="Rag Sans-1.4" w:cs="Rag Sans-1.4"/>
          <w:rtl/>
        </w:rPr>
        <w:t xml:space="preserve">, מצב הביטחונות, </w:t>
      </w:r>
      <w:r w:rsidR="00D73252" w:rsidRPr="00D73252">
        <w:rPr>
          <w:rFonts w:ascii="Rag Sans-1.4" w:hAnsi="Rag Sans-1.4" w:cs="Rag Sans-1.4" w:hint="cs"/>
          <w:rtl/>
        </w:rPr>
        <w:t>ניתוח</w:t>
      </w:r>
      <w:r w:rsidR="00D73252" w:rsidRPr="00D73252">
        <w:rPr>
          <w:rFonts w:ascii="Rag Sans-1.4" w:hAnsi="Rag Sans-1.4" w:cs="Rag Sans-1.4"/>
          <w:rtl/>
        </w:rPr>
        <w:t xml:space="preserve"> </w:t>
      </w:r>
      <w:r w:rsidRPr="00D73252">
        <w:rPr>
          <w:rFonts w:ascii="Rag Sans-1.4" w:hAnsi="Rag Sans-1.4" w:cs="Rag Sans-1.4"/>
          <w:rtl/>
        </w:rPr>
        <w:t>דוחות כספיים</w:t>
      </w:r>
      <w:r w:rsidR="00D73252" w:rsidRPr="00D73252">
        <w:rPr>
          <w:rFonts w:ascii="Rag Sans-1.4" w:hAnsi="Rag Sans-1.4" w:cs="Rag Sans-1.4" w:hint="cs"/>
          <w:rtl/>
        </w:rPr>
        <w:t>, דיווחים של הלווה לגוף המוסדי, דיווחים של החברה המנפיקה לרשות לניירות ערך, אינדיקטורים מהשוק המשני הסחיר.</w:t>
      </w:r>
    </w:p>
    <w:p w14:paraId="15873396" w14:textId="77777777" w:rsidR="008A74E0" w:rsidRPr="00D73252" w:rsidRDefault="008A74E0" w:rsidP="00D73252">
      <w:pPr>
        <w:pStyle w:val="ab"/>
        <w:numPr>
          <w:ilvl w:val="0"/>
          <w:numId w:val="3"/>
        </w:numPr>
        <w:spacing w:line="360" w:lineRule="auto"/>
        <w:rPr>
          <w:rFonts w:ascii="Rag Sans-1.4" w:hAnsi="Rag Sans-1.4" w:cs="Rag Sans-1.4"/>
          <w:rtl/>
        </w:rPr>
      </w:pPr>
      <w:r w:rsidRPr="00D73252">
        <w:rPr>
          <w:rFonts w:ascii="Rag Sans-1.4" w:hAnsi="Rag Sans-1.4" w:cs="Rag Sans-1.4"/>
          <w:b/>
          <w:bCs/>
          <w:u w:val="single"/>
          <w:rtl/>
        </w:rPr>
        <w:t>איתור חובות בעייתיים –</w:t>
      </w:r>
      <w:r w:rsidRPr="00D73252">
        <w:rPr>
          <w:rFonts w:ascii="Rag Sans-1.4" w:hAnsi="Rag Sans-1.4" w:cs="Rag Sans-1.4"/>
          <w:rtl/>
        </w:rPr>
        <w:t xml:space="preserve"> יצירת רשימה של חובות בעייתיים בהתאם לקריטריונים קבועים מראש, ובהתאם לממצאים שעלו כתוצאה מהמעקב השוטף אחר החובות. הוגדרה רשימה של פרמטרים </w:t>
      </w:r>
      <w:proofErr w:type="spellStart"/>
      <w:r w:rsidRPr="00D73252">
        <w:rPr>
          <w:rFonts w:ascii="Rag Sans-1.4" w:hAnsi="Rag Sans-1.4" w:cs="Rag Sans-1.4"/>
          <w:rtl/>
        </w:rPr>
        <w:t>שבהתקיימם</w:t>
      </w:r>
      <w:proofErr w:type="spellEnd"/>
      <w:r w:rsidRPr="00D73252">
        <w:rPr>
          <w:rFonts w:ascii="Rag Sans-1.4" w:hAnsi="Rag Sans-1.4" w:cs="Rag Sans-1.4"/>
          <w:rtl/>
        </w:rPr>
        <w:t xml:space="preserve"> נדרשת הערכת חוב, על מנת לאתר חוב בעייתי.</w:t>
      </w:r>
    </w:p>
    <w:p w14:paraId="7636774A" w14:textId="261C0C99" w:rsidR="00D73252" w:rsidRPr="00D73252" w:rsidRDefault="008A74E0" w:rsidP="00D73252">
      <w:pPr>
        <w:pStyle w:val="ab"/>
        <w:numPr>
          <w:ilvl w:val="0"/>
          <w:numId w:val="3"/>
        </w:numPr>
        <w:spacing w:line="360" w:lineRule="auto"/>
        <w:rPr>
          <w:rFonts w:ascii="Rag Sans-1.4" w:hAnsi="Rag Sans-1.4" w:cs="Rag Sans-1.4"/>
          <w:rtl/>
        </w:rPr>
      </w:pPr>
      <w:r w:rsidRPr="00D73252">
        <w:rPr>
          <w:rFonts w:ascii="Rag Sans-1.4" w:hAnsi="Rag Sans-1.4" w:cs="Rag Sans-1.4"/>
          <w:b/>
          <w:bCs/>
          <w:u w:val="single"/>
          <w:rtl/>
        </w:rPr>
        <w:t>סיווג החובות הבעייתיים –</w:t>
      </w:r>
      <w:r w:rsidRPr="00D73252">
        <w:rPr>
          <w:rFonts w:ascii="Rag Sans-1.4" w:hAnsi="Rag Sans-1.4" w:cs="Rag Sans-1.4"/>
          <w:rtl/>
        </w:rPr>
        <w:t xml:space="preserve"> </w:t>
      </w:r>
      <w:r w:rsidR="00D73252" w:rsidRPr="00D73252">
        <w:rPr>
          <w:rFonts w:ascii="Rag Sans-1.4" w:hAnsi="Rag Sans-1.4" w:cs="Rag Sans-1.4" w:hint="cs"/>
          <w:rtl/>
        </w:rPr>
        <w:t xml:space="preserve">את החובות הבעייתיים מסווג </w:t>
      </w:r>
      <w:r w:rsidRPr="00D73252">
        <w:rPr>
          <w:rFonts w:ascii="Rag Sans-1.4" w:hAnsi="Rag Sans-1.4" w:cs="Rag Sans-1.4"/>
          <w:rtl/>
        </w:rPr>
        <w:t xml:space="preserve"> </w:t>
      </w:r>
      <w:r w:rsidR="00D73252" w:rsidRPr="00D73252">
        <w:rPr>
          <w:rFonts w:ascii="Rag Sans-1.4" w:hAnsi="Rag Sans-1.4" w:cs="Rag Sans-1.4" w:hint="cs"/>
          <w:rtl/>
        </w:rPr>
        <w:t>מרכז חובות בעייתיים לאחת מהקבוצות הבאות:</w:t>
      </w:r>
    </w:p>
    <w:p w14:paraId="0A2F332E" w14:textId="77777777" w:rsidR="00D73252" w:rsidRDefault="008A74E0" w:rsidP="00D73252">
      <w:pPr>
        <w:spacing w:line="360" w:lineRule="auto"/>
        <w:ind w:firstLine="360"/>
        <w:rPr>
          <w:rFonts w:ascii="Rag Sans-1.4" w:hAnsi="Rag Sans-1.4" w:cs="Rag Sans-1.4"/>
          <w:rtl/>
        </w:rPr>
      </w:pPr>
      <w:r w:rsidRPr="00D73252">
        <w:rPr>
          <w:rFonts w:ascii="Rag Sans-1.4" w:hAnsi="Rag Sans-1.4" w:cs="Rag Sans-1.4"/>
          <w:b/>
          <w:bCs/>
          <w:u w:val="single"/>
          <w:rtl/>
        </w:rPr>
        <w:t>חוב בהשגחה מיוחדת</w:t>
      </w:r>
      <w:r w:rsidR="00D73252" w:rsidRPr="00D73252">
        <w:rPr>
          <w:rFonts w:ascii="Rag Sans-1.4" w:hAnsi="Rag Sans-1.4" w:cs="Rag Sans-1.4" w:hint="cs"/>
          <w:rtl/>
        </w:rPr>
        <w:t xml:space="preserve"> </w:t>
      </w:r>
      <w:r w:rsidR="00D73252">
        <w:rPr>
          <w:rFonts w:ascii="Rag Sans-1.4" w:hAnsi="Rag Sans-1.4" w:cs="Rag Sans-1.4"/>
          <w:rtl/>
        </w:rPr>
        <w:t>–</w:t>
      </w:r>
      <w:r w:rsidR="00D73252" w:rsidRPr="00D73252">
        <w:rPr>
          <w:rFonts w:ascii="Rag Sans-1.4" w:hAnsi="Rag Sans-1.4" w:cs="Rag Sans-1.4" w:hint="cs"/>
          <w:rtl/>
        </w:rPr>
        <w:t xml:space="preserve"> </w:t>
      </w:r>
      <w:r w:rsidR="00D73252">
        <w:rPr>
          <w:rFonts w:ascii="Rag Sans-1.4" w:hAnsi="Rag Sans-1.4" w:cs="Rag Sans-1.4" w:hint="cs"/>
          <w:rtl/>
        </w:rPr>
        <w:t xml:space="preserve">חוב שלאור הערכת מצבו הפיננסי של הלווה רואה החברה צורך להגביר את </w:t>
      </w:r>
    </w:p>
    <w:p w14:paraId="4E0CBB2C" w14:textId="36DE5352" w:rsidR="00D73252" w:rsidRDefault="00D73252" w:rsidP="00D73252">
      <w:pPr>
        <w:spacing w:line="360" w:lineRule="auto"/>
        <w:ind w:firstLine="360"/>
        <w:rPr>
          <w:rFonts w:ascii="Rag Sans-1.4" w:hAnsi="Rag Sans-1.4" w:cs="Rag Sans-1.4"/>
          <w:rtl/>
        </w:rPr>
      </w:pPr>
      <w:r>
        <w:rPr>
          <w:rFonts w:ascii="Rag Sans-1.4" w:hAnsi="Rag Sans-1.4" w:cs="Rag Sans-1.4" w:hint="cs"/>
          <w:rtl/>
        </w:rPr>
        <w:t>אמצעי המעקב והפיקוח עליו;</w:t>
      </w:r>
    </w:p>
    <w:p w14:paraId="19C82201" w14:textId="1D1C07B3" w:rsidR="00D73252" w:rsidRDefault="008A74E0" w:rsidP="00D73252">
      <w:pPr>
        <w:spacing w:line="360" w:lineRule="auto"/>
        <w:ind w:firstLine="360"/>
        <w:rPr>
          <w:rFonts w:ascii="Rag Sans-1.4" w:hAnsi="Rag Sans-1.4" w:cs="Rag Sans-1.4"/>
          <w:rtl/>
        </w:rPr>
      </w:pPr>
      <w:r w:rsidRPr="00D73252">
        <w:rPr>
          <w:rFonts w:ascii="Rag Sans-1.4" w:hAnsi="Rag Sans-1.4" w:cs="Rag Sans-1.4"/>
          <w:b/>
          <w:bCs/>
          <w:u w:val="single"/>
          <w:rtl/>
        </w:rPr>
        <w:t>חוב בפיגור</w:t>
      </w:r>
      <w:r w:rsidR="00D73252">
        <w:rPr>
          <w:rFonts w:ascii="Rag Sans-1.4" w:hAnsi="Rag Sans-1.4" w:cs="Rag Sans-1.4" w:hint="cs"/>
          <w:rtl/>
        </w:rPr>
        <w:t xml:space="preserve"> </w:t>
      </w:r>
      <w:r w:rsidR="00D73252">
        <w:rPr>
          <w:rFonts w:ascii="Rag Sans-1.4" w:hAnsi="Rag Sans-1.4" w:cs="Rag Sans-1.4"/>
          <w:rtl/>
        </w:rPr>
        <w:t>–</w:t>
      </w:r>
      <w:r w:rsidR="00D73252">
        <w:rPr>
          <w:rFonts w:ascii="Rag Sans-1.4" w:hAnsi="Rag Sans-1.4" w:cs="Rag Sans-1.4" w:hint="cs"/>
          <w:rtl/>
        </w:rPr>
        <w:t xml:space="preserve"> סך כל החוב, אם לא נפרע, כולו או חלקו במועד שנקבע לפירעון אותו חלק לפי תנאי ההסכם ולגבי חוב לא סחיר בתוך 30 ימים מהמועד האמור;</w:t>
      </w:r>
    </w:p>
    <w:p w14:paraId="7ED2BE68" w14:textId="1EE20D21" w:rsidR="008A74E0" w:rsidRPr="00D73252" w:rsidRDefault="008A74E0" w:rsidP="00D73252">
      <w:pPr>
        <w:spacing w:line="360" w:lineRule="auto"/>
        <w:ind w:firstLine="360"/>
        <w:rPr>
          <w:rFonts w:ascii="Rag Sans-1.4" w:hAnsi="Rag Sans-1.4" w:cs="Rag Sans-1.4"/>
          <w:rtl/>
        </w:rPr>
      </w:pPr>
      <w:r w:rsidRPr="00D73252">
        <w:rPr>
          <w:rFonts w:ascii="Rag Sans-1.4" w:hAnsi="Rag Sans-1.4" w:cs="Rag Sans-1.4"/>
          <w:b/>
          <w:bCs/>
          <w:u w:val="single"/>
          <w:rtl/>
        </w:rPr>
        <w:t>חוב מסופק</w:t>
      </w:r>
      <w:r w:rsidR="00D73252">
        <w:rPr>
          <w:rFonts w:ascii="Rag Sans-1.4" w:hAnsi="Rag Sans-1.4" w:cs="Rag Sans-1.4" w:hint="cs"/>
          <w:b/>
          <w:bCs/>
          <w:u w:val="single"/>
          <w:rtl/>
        </w:rPr>
        <w:t xml:space="preserve"> </w:t>
      </w:r>
      <w:r w:rsidR="00D73252">
        <w:rPr>
          <w:rFonts w:ascii="Rag Sans-1.4" w:hAnsi="Rag Sans-1.4" w:cs="Rag Sans-1.4"/>
          <w:b/>
          <w:bCs/>
          <w:u w:val="single"/>
          <w:rtl/>
        </w:rPr>
        <w:t>–</w:t>
      </w:r>
      <w:r w:rsidR="00D73252">
        <w:rPr>
          <w:rFonts w:ascii="Rag Sans-1.4" w:hAnsi="Rag Sans-1.4" w:cs="Rag Sans-1.4" w:hint="cs"/>
          <w:b/>
          <w:bCs/>
          <w:u w:val="single"/>
          <w:rtl/>
        </w:rPr>
        <w:t xml:space="preserve"> </w:t>
      </w:r>
      <w:r w:rsidR="00D73252" w:rsidRPr="00D73252">
        <w:rPr>
          <w:rFonts w:ascii="Rag Sans-1.4" w:hAnsi="Rag Sans-1.4" w:cs="Rag Sans-1.4" w:hint="cs"/>
          <w:rtl/>
        </w:rPr>
        <w:t>חוב, או חלק ממנו, שלהערכת החברה הסיכויים לגבותו במלואו נמוכים.</w:t>
      </w:r>
      <w:r w:rsidR="00D73252" w:rsidRPr="00D73252">
        <w:rPr>
          <w:rFonts w:ascii="Rag Sans-1.4" w:hAnsi="Rag Sans-1.4" w:cs="Rag Sans-1.4"/>
        </w:rPr>
        <w:t xml:space="preserve"> </w:t>
      </w:r>
    </w:p>
    <w:p w14:paraId="75DF8F78" w14:textId="611E61AF" w:rsidR="008A74E0" w:rsidRPr="00D73252" w:rsidRDefault="008A74E0" w:rsidP="00D73252">
      <w:pPr>
        <w:pStyle w:val="ab"/>
        <w:numPr>
          <w:ilvl w:val="0"/>
          <w:numId w:val="4"/>
        </w:numPr>
        <w:spacing w:line="360" w:lineRule="auto"/>
        <w:rPr>
          <w:rFonts w:ascii="Rag Sans-1.4" w:hAnsi="Rag Sans-1.4" w:cs="Rag Sans-1.4"/>
          <w:rtl/>
        </w:rPr>
      </w:pPr>
      <w:r w:rsidRPr="00D73252">
        <w:rPr>
          <w:rFonts w:ascii="Rag Sans-1.4" w:hAnsi="Rag Sans-1.4" w:cs="Rag Sans-1.4"/>
          <w:b/>
          <w:bCs/>
          <w:u w:val="single"/>
          <w:rtl/>
        </w:rPr>
        <w:t>דיון בחובות בעייתיים וגיבוש דרכי הטיפול בהם –</w:t>
      </w:r>
      <w:r w:rsidRPr="00D73252">
        <w:rPr>
          <w:rFonts w:ascii="Rag Sans-1.4" w:hAnsi="Rag Sans-1.4" w:cs="Rag Sans-1.4"/>
          <w:rtl/>
        </w:rPr>
        <w:t xml:space="preserve"> </w:t>
      </w:r>
      <w:r w:rsidR="00CB60DB">
        <w:rPr>
          <w:rFonts w:ascii="Rag Sans-1.4" w:hAnsi="Rag Sans-1.4" w:cs="Rag Sans-1.4" w:hint="cs"/>
          <w:rtl/>
        </w:rPr>
        <w:t>מרכז חובות בעייתיים</w:t>
      </w:r>
      <w:r w:rsidRPr="00D73252">
        <w:rPr>
          <w:rFonts w:ascii="Rag Sans-1.4" w:hAnsi="Rag Sans-1.4" w:cs="Rag Sans-1.4"/>
          <w:rtl/>
        </w:rPr>
        <w:t xml:space="preserve"> מקיים דיונים המסתמכים על עבודות מחקר ויועצים (בהתאם לנדרש) על החובות הבעייתיים, ומקיים דיון באפשרויות הטיפול בחוב המוגדר כחוב בפיגור או חוב מסופק.</w:t>
      </w:r>
    </w:p>
    <w:p w14:paraId="1C8FD9D2" w14:textId="56075C9B" w:rsidR="008A74E0" w:rsidRPr="00D73252" w:rsidRDefault="008A74E0" w:rsidP="00D73252">
      <w:pPr>
        <w:pStyle w:val="ab"/>
        <w:numPr>
          <w:ilvl w:val="0"/>
          <w:numId w:val="4"/>
        </w:numPr>
        <w:spacing w:line="360" w:lineRule="auto"/>
        <w:rPr>
          <w:rFonts w:ascii="Rag Sans-1.4" w:hAnsi="Rag Sans-1.4" w:cs="Rag Sans-1.4"/>
          <w:rtl/>
        </w:rPr>
      </w:pPr>
      <w:r w:rsidRPr="00D73252">
        <w:rPr>
          <w:rFonts w:ascii="Rag Sans-1.4" w:hAnsi="Rag Sans-1.4" w:cs="Rag Sans-1.4"/>
          <w:b/>
          <w:bCs/>
          <w:u w:val="single"/>
          <w:rtl/>
        </w:rPr>
        <w:t>דיווח לו</w:t>
      </w:r>
      <w:r w:rsidR="00FC0402">
        <w:rPr>
          <w:rFonts w:ascii="Rag Sans-1.4" w:hAnsi="Rag Sans-1.4" w:cs="Rag Sans-1.4" w:hint="cs"/>
          <w:b/>
          <w:bCs/>
          <w:u w:val="single"/>
          <w:rtl/>
        </w:rPr>
        <w:t>ו</w:t>
      </w:r>
      <w:r w:rsidRPr="00D73252">
        <w:rPr>
          <w:rFonts w:ascii="Rag Sans-1.4" w:hAnsi="Rag Sans-1.4" w:cs="Rag Sans-1.4"/>
          <w:b/>
          <w:bCs/>
          <w:u w:val="single"/>
          <w:rtl/>
        </w:rPr>
        <w:t xml:space="preserve">עדת </w:t>
      </w:r>
      <w:r w:rsidR="003F038B">
        <w:rPr>
          <w:rFonts w:ascii="Rag Sans-1.4" w:hAnsi="Rag Sans-1.4" w:cs="Rag Sans-1.4" w:hint="cs"/>
          <w:b/>
          <w:bCs/>
          <w:u w:val="single"/>
          <w:rtl/>
        </w:rPr>
        <w:t>משנה ל</w:t>
      </w:r>
      <w:r w:rsidRPr="00D73252">
        <w:rPr>
          <w:rFonts w:ascii="Rag Sans-1.4" w:hAnsi="Rag Sans-1.4" w:cs="Rag Sans-1.4"/>
          <w:b/>
          <w:bCs/>
          <w:u w:val="single"/>
          <w:rtl/>
        </w:rPr>
        <w:t>אשראי וועדת ההשקע</w:t>
      </w:r>
      <w:r w:rsidR="00CB60DB">
        <w:rPr>
          <w:rFonts w:ascii="Rag Sans-1.4" w:hAnsi="Rag Sans-1.4" w:cs="Rag Sans-1.4" w:hint="cs"/>
          <w:b/>
          <w:bCs/>
          <w:u w:val="single"/>
          <w:rtl/>
        </w:rPr>
        <w:t>ות</w:t>
      </w:r>
      <w:r w:rsidRPr="00D73252">
        <w:rPr>
          <w:rFonts w:ascii="Rag Sans-1.4" w:hAnsi="Rag Sans-1.4" w:cs="Rag Sans-1.4"/>
          <w:b/>
          <w:bCs/>
          <w:u w:val="single"/>
          <w:rtl/>
        </w:rPr>
        <w:t xml:space="preserve"> –</w:t>
      </w:r>
      <w:r w:rsidRPr="00D73252">
        <w:rPr>
          <w:rFonts w:ascii="Rag Sans-1.4" w:hAnsi="Rag Sans-1.4" w:cs="Rag Sans-1.4"/>
          <w:rtl/>
        </w:rPr>
        <w:t xml:space="preserve"> העברת דיווח מיידי אודות חוב בעייתי חדש, דו"ח תקופתי</w:t>
      </w:r>
      <w:r w:rsidR="003F038B">
        <w:rPr>
          <w:rFonts w:ascii="Rag Sans-1.4" w:hAnsi="Rag Sans-1.4" w:cs="Rag Sans-1.4" w:hint="cs"/>
          <w:rtl/>
        </w:rPr>
        <w:t xml:space="preserve"> לפחות אחת לרבעון</w:t>
      </w:r>
      <w:r w:rsidRPr="00D73252">
        <w:rPr>
          <w:rFonts w:ascii="Rag Sans-1.4" w:hAnsi="Rag Sans-1.4" w:cs="Rag Sans-1.4"/>
          <w:rtl/>
        </w:rPr>
        <w:t xml:space="preserve"> לגבי כל החובות שבתיק הנכסים ומצבת החובות הבעייתיים וההתפתחויות בהם.</w:t>
      </w:r>
    </w:p>
    <w:p w14:paraId="55A3FE11" w14:textId="6EB138DD" w:rsidR="008A74E0" w:rsidRPr="00D73252" w:rsidRDefault="008A74E0" w:rsidP="00D73252">
      <w:pPr>
        <w:pStyle w:val="ab"/>
        <w:numPr>
          <w:ilvl w:val="0"/>
          <w:numId w:val="4"/>
        </w:numPr>
        <w:spacing w:line="360" w:lineRule="auto"/>
        <w:rPr>
          <w:rFonts w:ascii="Rag Sans-1.4" w:hAnsi="Rag Sans-1.4" w:cs="Rag Sans-1.4"/>
          <w:rtl/>
        </w:rPr>
      </w:pPr>
      <w:r w:rsidRPr="00D73252">
        <w:rPr>
          <w:rFonts w:ascii="Rag Sans-1.4" w:hAnsi="Rag Sans-1.4" w:cs="Rag Sans-1.4"/>
          <w:b/>
          <w:bCs/>
          <w:u w:val="single"/>
          <w:rtl/>
        </w:rPr>
        <w:t>פעילות לגביית חוב –</w:t>
      </w:r>
      <w:r w:rsidRPr="00D73252">
        <w:rPr>
          <w:rFonts w:ascii="Rag Sans-1.4" w:hAnsi="Rag Sans-1.4" w:cs="Rag Sans-1.4"/>
          <w:rtl/>
        </w:rPr>
        <w:t xml:space="preserve"> </w:t>
      </w:r>
      <w:r w:rsidR="00CB60DB">
        <w:rPr>
          <w:rFonts w:ascii="Rag Sans-1.4" w:hAnsi="Rag Sans-1.4" w:cs="Rag Sans-1.4" w:hint="cs"/>
          <w:rtl/>
        </w:rPr>
        <w:t>מרכז חובות בעייתיים</w:t>
      </w:r>
      <w:r w:rsidRPr="00D73252">
        <w:rPr>
          <w:rFonts w:ascii="Rag Sans-1.4" w:hAnsi="Rag Sans-1.4" w:cs="Rag Sans-1.4"/>
          <w:rtl/>
        </w:rPr>
        <w:t xml:space="preserve"> דן בדרכים ואמצעים לגביית חוב ומגבש המלצות. ועדת ההשקע</w:t>
      </w:r>
      <w:r w:rsidR="00745E73">
        <w:rPr>
          <w:rFonts w:ascii="Rag Sans-1.4" w:hAnsi="Rag Sans-1.4" w:cs="Rag Sans-1.4" w:hint="cs"/>
          <w:rtl/>
        </w:rPr>
        <w:t>ות</w:t>
      </w:r>
      <w:r w:rsidRPr="00D73252">
        <w:rPr>
          <w:rFonts w:ascii="Rag Sans-1.4" w:hAnsi="Rag Sans-1.4" w:cs="Rag Sans-1.4"/>
          <w:rtl/>
        </w:rPr>
        <w:t xml:space="preserve"> מקבלות החלטות לגבי דרך גביית החוב היעילה ביותר מבחינת ישימות הצעדים המוצעים, עלותם והשלכותיהם, בהתחשב בהמלצות </w:t>
      </w:r>
      <w:r w:rsidR="00CB60DB">
        <w:rPr>
          <w:rFonts w:ascii="Rag Sans-1.4" w:hAnsi="Rag Sans-1.4" w:cs="Rag Sans-1.4" w:hint="cs"/>
          <w:rtl/>
        </w:rPr>
        <w:t>מרכז חובות בעייתיים</w:t>
      </w:r>
      <w:r w:rsidRPr="00D73252">
        <w:rPr>
          <w:rFonts w:ascii="Rag Sans-1.4" w:hAnsi="Rag Sans-1.4" w:cs="Rag Sans-1.4"/>
          <w:rtl/>
        </w:rPr>
        <w:t xml:space="preserve"> וועדת </w:t>
      </w:r>
      <w:r w:rsidR="005148D1">
        <w:rPr>
          <w:rFonts w:ascii="Rag Sans-1.4" w:hAnsi="Rag Sans-1.4" w:cs="Rag Sans-1.4" w:hint="cs"/>
          <w:rtl/>
        </w:rPr>
        <w:t>משנה ל</w:t>
      </w:r>
      <w:r w:rsidR="005148D1" w:rsidRPr="00D73252">
        <w:rPr>
          <w:rFonts w:ascii="Rag Sans-1.4" w:hAnsi="Rag Sans-1.4" w:cs="Rag Sans-1.4"/>
          <w:rtl/>
        </w:rPr>
        <w:t>אשראי</w:t>
      </w:r>
      <w:r w:rsidRPr="00D73252">
        <w:rPr>
          <w:rFonts w:ascii="Rag Sans-1.4" w:hAnsi="Rag Sans-1.4" w:cs="Rag Sans-1.4"/>
          <w:rtl/>
        </w:rPr>
        <w:t>, לרבות החלטות לגבי השתתפות בנציגויות חוב.</w:t>
      </w:r>
    </w:p>
    <w:p w14:paraId="0F56B589" w14:textId="5FD3E8B9" w:rsidR="008A74E0" w:rsidRPr="00D73252" w:rsidRDefault="008A74E0" w:rsidP="00D73252">
      <w:pPr>
        <w:pStyle w:val="ab"/>
        <w:numPr>
          <w:ilvl w:val="0"/>
          <w:numId w:val="4"/>
        </w:numPr>
        <w:spacing w:line="360" w:lineRule="auto"/>
        <w:rPr>
          <w:rFonts w:ascii="Rag Sans-1.4" w:hAnsi="Rag Sans-1.4" w:cs="Rag Sans-1.4"/>
          <w:rtl/>
        </w:rPr>
      </w:pPr>
      <w:r w:rsidRPr="00D73252">
        <w:rPr>
          <w:rFonts w:ascii="Rag Sans-1.4" w:hAnsi="Rag Sans-1.4" w:cs="Rag Sans-1.4"/>
          <w:b/>
          <w:bCs/>
          <w:u w:val="single"/>
          <w:rtl/>
        </w:rPr>
        <w:t>אישור תנאי הסדר החוב –</w:t>
      </w:r>
      <w:r w:rsidRPr="00D73252">
        <w:rPr>
          <w:rFonts w:ascii="Rag Sans-1.4" w:hAnsi="Rag Sans-1.4" w:cs="Rag Sans-1.4"/>
          <w:rtl/>
        </w:rPr>
        <w:t xml:space="preserve"> ועדת ההשקע</w:t>
      </w:r>
      <w:r w:rsidR="00CB60DB">
        <w:rPr>
          <w:rFonts w:ascii="Rag Sans-1.4" w:hAnsi="Rag Sans-1.4" w:cs="Rag Sans-1.4" w:hint="cs"/>
          <w:rtl/>
        </w:rPr>
        <w:t>ות</w:t>
      </w:r>
      <w:r w:rsidRPr="00D73252">
        <w:rPr>
          <w:rFonts w:ascii="Rag Sans-1.4" w:hAnsi="Rag Sans-1.4" w:cs="Rag Sans-1.4"/>
          <w:rtl/>
        </w:rPr>
        <w:t xml:space="preserve"> דנ</w:t>
      </w:r>
      <w:r w:rsidR="00CB60DB">
        <w:rPr>
          <w:rFonts w:ascii="Rag Sans-1.4" w:hAnsi="Rag Sans-1.4" w:cs="Rag Sans-1.4" w:hint="cs"/>
          <w:rtl/>
        </w:rPr>
        <w:t>ה</w:t>
      </w:r>
      <w:r w:rsidRPr="00D73252">
        <w:rPr>
          <w:rFonts w:ascii="Rag Sans-1.4" w:hAnsi="Rag Sans-1.4" w:cs="Rag Sans-1.4"/>
          <w:rtl/>
        </w:rPr>
        <w:t xml:space="preserve"> בהסדרי חוב מוצעים ו</w:t>
      </w:r>
      <w:r w:rsidR="00CB60DB">
        <w:rPr>
          <w:rFonts w:ascii="Rag Sans-1.4" w:hAnsi="Rag Sans-1.4" w:cs="Rag Sans-1.4" w:hint="cs"/>
          <w:rtl/>
        </w:rPr>
        <w:t>ת</w:t>
      </w:r>
      <w:r w:rsidRPr="00D73252">
        <w:rPr>
          <w:rFonts w:ascii="Rag Sans-1.4" w:hAnsi="Rag Sans-1.4" w:cs="Rag Sans-1.4"/>
          <w:rtl/>
        </w:rPr>
        <w:t xml:space="preserve">אשר אותם בהתאם להמלצות </w:t>
      </w:r>
      <w:r w:rsidR="00CB60DB">
        <w:rPr>
          <w:rFonts w:ascii="Rag Sans-1.4" w:hAnsi="Rag Sans-1.4" w:cs="Rag Sans-1.4" w:hint="cs"/>
          <w:rtl/>
        </w:rPr>
        <w:t>מרכז חובות בעייתיים</w:t>
      </w:r>
      <w:r w:rsidRPr="00D73252">
        <w:rPr>
          <w:rFonts w:ascii="Rag Sans-1.4" w:hAnsi="Rag Sans-1.4" w:cs="Rag Sans-1.4"/>
          <w:rtl/>
        </w:rPr>
        <w:t xml:space="preserve"> וועדת האשראי, ובהתאם לקווים המנחים לאישור הסדרי חוב.</w:t>
      </w:r>
    </w:p>
    <w:p w14:paraId="0C7EF6B4" w14:textId="4A2F8007" w:rsidR="008A74E0" w:rsidRPr="00660BD0" w:rsidRDefault="008A74E0" w:rsidP="008A74E0">
      <w:pPr>
        <w:spacing w:line="360" w:lineRule="auto"/>
        <w:rPr>
          <w:rFonts w:ascii="Rag Sans-1.4" w:hAnsi="Rag Sans-1.4" w:cs="Rag Sans-1.4"/>
          <w:rtl/>
        </w:rPr>
      </w:pPr>
      <w:r w:rsidRPr="00660BD0">
        <w:rPr>
          <w:rFonts w:ascii="Rag Sans-1.4" w:hAnsi="Rag Sans-1.4" w:cs="Rag Sans-1.4"/>
          <w:rtl/>
        </w:rPr>
        <w:t>סמכויות אישור הסדרי החוב – נקבע מדרג סמכויות לקבלת החלטות בדבר אישור תנאי הסדר חוב לגבי מנהל מערך האשראי וועדת ההשקע</w:t>
      </w:r>
      <w:r w:rsidR="00CB60DB">
        <w:rPr>
          <w:rFonts w:ascii="Rag Sans-1.4" w:hAnsi="Rag Sans-1.4" w:cs="Rag Sans-1.4" w:hint="cs"/>
          <w:rtl/>
        </w:rPr>
        <w:t>ות</w:t>
      </w:r>
      <w:r w:rsidRPr="00660BD0">
        <w:rPr>
          <w:rFonts w:ascii="Rag Sans-1.4" w:hAnsi="Rag Sans-1.4" w:cs="Rag Sans-1.4"/>
          <w:rtl/>
        </w:rPr>
        <w:t>.</w:t>
      </w:r>
    </w:p>
    <w:p w14:paraId="7DCB1820" w14:textId="77777777" w:rsidR="008A74E0" w:rsidRPr="00D73252" w:rsidRDefault="008A74E0" w:rsidP="00D73252">
      <w:pPr>
        <w:pStyle w:val="ab"/>
        <w:numPr>
          <w:ilvl w:val="0"/>
          <w:numId w:val="5"/>
        </w:numPr>
        <w:spacing w:line="360" w:lineRule="auto"/>
        <w:rPr>
          <w:rFonts w:ascii="Rag Sans-1.4" w:hAnsi="Rag Sans-1.4" w:cs="Rag Sans-1.4"/>
          <w:b/>
          <w:bCs/>
          <w:u w:val="single"/>
          <w:rtl/>
        </w:rPr>
      </w:pPr>
      <w:r w:rsidRPr="00D73252">
        <w:rPr>
          <w:rFonts w:ascii="Rag Sans-1.4" w:hAnsi="Rag Sans-1.4" w:cs="Rag Sans-1.4"/>
          <w:b/>
          <w:bCs/>
          <w:u w:val="single"/>
          <w:rtl/>
        </w:rPr>
        <w:t>עקרונות לאישור הסדרי חוב</w:t>
      </w:r>
    </w:p>
    <w:p w14:paraId="7369816D" w14:textId="77777777" w:rsidR="008A74E0" w:rsidRPr="00660BD0" w:rsidRDefault="008A74E0" w:rsidP="008A74E0">
      <w:pPr>
        <w:spacing w:line="360" w:lineRule="auto"/>
        <w:rPr>
          <w:rFonts w:ascii="Rag Sans-1.4" w:hAnsi="Rag Sans-1.4" w:cs="Rag Sans-1.4"/>
          <w:rtl/>
        </w:rPr>
      </w:pPr>
      <w:r w:rsidRPr="00660BD0">
        <w:rPr>
          <w:rFonts w:ascii="Rag Sans-1.4" w:hAnsi="Rag Sans-1.4" w:cs="Rag Sans-1.4"/>
          <w:rtl/>
        </w:rPr>
        <w:t>עמיתים תפעל כמיטב יכולתה, בהתחשב במאפיינים הספציפיים של החברות והחוב המקורי, על מנת שכל הסדר חוב יכלול במידת האפשר את המרכיבים הבאים:</w:t>
      </w:r>
    </w:p>
    <w:p w14:paraId="319731E7" w14:textId="77777777" w:rsidR="008A74E0" w:rsidRPr="00660BD0" w:rsidRDefault="008A74E0" w:rsidP="0044370F">
      <w:pPr>
        <w:spacing w:line="360" w:lineRule="auto"/>
        <w:ind w:left="720"/>
        <w:rPr>
          <w:rFonts w:ascii="Rag Sans-1.4" w:hAnsi="Rag Sans-1.4" w:cs="Rag Sans-1.4"/>
          <w:rtl/>
        </w:rPr>
      </w:pPr>
      <w:r w:rsidRPr="00660BD0">
        <w:rPr>
          <w:rFonts w:ascii="Rag Sans-1.4" w:hAnsi="Rag Sans-1.4" w:cs="Rag Sans-1.4"/>
          <w:b/>
          <w:bCs/>
          <w:u w:val="single"/>
          <w:rtl/>
        </w:rPr>
        <w:lastRenderedPageBreak/>
        <w:t>פיצוי לבעלי אג"ח כנגד שינוי תנאי חוב –</w:t>
      </w:r>
      <w:r w:rsidRPr="00660BD0">
        <w:rPr>
          <w:rFonts w:ascii="Rag Sans-1.4" w:hAnsi="Rag Sans-1.4" w:cs="Rag Sans-1.4"/>
          <w:rtl/>
        </w:rPr>
        <w:t xml:space="preserve"> פירעון מוקדם של חלק מהחוב, העלאת שיעור הריבית על החוב, קבלת בטוחות נוספות, קבלת מניות, או אופציות המקנות השתתפות ברווחים עתידיים.</w:t>
      </w:r>
    </w:p>
    <w:p w14:paraId="106235C6" w14:textId="77777777" w:rsidR="008A74E0" w:rsidRPr="00660BD0" w:rsidRDefault="008A74E0" w:rsidP="0044370F">
      <w:pPr>
        <w:spacing w:line="360" w:lineRule="auto"/>
        <w:ind w:left="720"/>
        <w:rPr>
          <w:rFonts w:ascii="Rag Sans-1.4" w:hAnsi="Rag Sans-1.4" w:cs="Rag Sans-1.4"/>
          <w:rtl/>
        </w:rPr>
      </w:pPr>
      <w:r w:rsidRPr="00660BD0">
        <w:rPr>
          <w:rFonts w:ascii="Rag Sans-1.4" w:hAnsi="Rag Sans-1.4" w:cs="Rag Sans-1.4"/>
          <w:b/>
          <w:bCs/>
          <w:u w:val="single"/>
          <w:rtl/>
        </w:rPr>
        <w:t>חיזוק מבנה ההון –</w:t>
      </w:r>
      <w:r w:rsidRPr="00660BD0">
        <w:rPr>
          <w:rFonts w:ascii="Rag Sans-1.4" w:hAnsi="Rag Sans-1.4" w:cs="Rag Sans-1.4"/>
          <w:rtl/>
        </w:rPr>
        <w:t xml:space="preserve"> המרת חוב אחר של החברה למניות, הזרמת הון, הלוואות בעלים, הגבלת דיווידנדים בתקופת ההסדר, הגבלת תגמול בעלי שליטה בעת תקופת ההסדר כולל שכר, בונוסים ודמי ניהול.</w:t>
      </w:r>
    </w:p>
    <w:p w14:paraId="22B5B204" w14:textId="77777777" w:rsidR="008A74E0" w:rsidRPr="00660BD0" w:rsidRDefault="008A74E0" w:rsidP="0044370F">
      <w:pPr>
        <w:spacing w:line="360" w:lineRule="auto"/>
        <w:ind w:firstLine="720"/>
        <w:rPr>
          <w:rFonts w:ascii="Rag Sans-1.4" w:hAnsi="Rag Sans-1.4" w:cs="Rag Sans-1.4"/>
          <w:rtl/>
        </w:rPr>
      </w:pPr>
      <w:r w:rsidRPr="00660BD0">
        <w:rPr>
          <w:rFonts w:ascii="Rag Sans-1.4" w:hAnsi="Rag Sans-1.4" w:cs="Rag Sans-1.4"/>
          <w:b/>
          <w:bCs/>
          <w:u w:val="single"/>
          <w:rtl/>
        </w:rPr>
        <w:t>טיפול בקדימויות החוב –</w:t>
      </w:r>
      <w:r w:rsidRPr="00660BD0">
        <w:rPr>
          <w:rFonts w:ascii="Rag Sans-1.4" w:hAnsi="Rag Sans-1.4" w:cs="Rag Sans-1.4"/>
          <w:rtl/>
        </w:rPr>
        <w:t xml:space="preserve"> דחייה מקבילה של תשלומי ריבית וקרן לנושים אחרים, כולל לבנקים.</w:t>
      </w:r>
    </w:p>
    <w:p w14:paraId="2F7B0910" w14:textId="77777777" w:rsidR="00E87098" w:rsidRPr="00660BD0" w:rsidRDefault="008A74E0" w:rsidP="0044370F">
      <w:pPr>
        <w:spacing w:line="360" w:lineRule="auto"/>
        <w:ind w:left="720"/>
        <w:rPr>
          <w:rFonts w:ascii="Rag Sans-1.4" w:hAnsi="Rag Sans-1.4" w:cs="Rag Sans-1.4"/>
          <w:rtl/>
        </w:rPr>
      </w:pPr>
      <w:r w:rsidRPr="00660BD0">
        <w:rPr>
          <w:rFonts w:ascii="Rag Sans-1.4" w:hAnsi="Rag Sans-1.4" w:cs="Rag Sans-1.4"/>
          <w:b/>
          <w:bCs/>
          <w:u w:val="single"/>
          <w:rtl/>
        </w:rPr>
        <w:t>חיזוק ממשל תאגידי ויצירת מנגנוני פיקוח –</w:t>
      </w:r>
      <w:r w:rsidRPr="00660BD0">
        <w:rPr>
          <w:rFonts w:ascii="Rag Sans-1.4" w:hAnsi="Rag Sans-1.4" w:cs="Rag Sans-1.4"/>
          <w:rtl/>
        </w:rPr>
        <w:t xml:space="preserve"> הגברת רמת השקיפות והדיווח של הלווה, הצגת תחזית תזרים עתידית של החברה הלווה המפרטת את הדרכים והפעילויות הנדרשות על מנת לעמוד בתשלומי החוב, דרישת אישור בעלי האג"ח לעסקאות בעלי עניין.</w:t>
      </w:r>
    </w:p>
    <w:sectPr w:rsidR="00E87098" w:rsidRPr="00660BD0" w:rsidSect="00660BD0">
      <w:headerReference w:type="default" r:id="rId8"/>
      <w:footerReference w:type="default" r:id="rId9"/>
      <w:pgSz w:w="11906" w:h="16838" w:code="9"/>
      <w:pgMar w:top="1666" w:right="1134" w:bottom="851" w:left="1134" w:header="180"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35B54" w14:textId="77777777" w:rsidR="00B3596E" w:rsidRDefault="00B3596E">
      <w:r>
        <w:separator/>
      </w:r>
    </w:p>
  </w:endnote>
  <w:endnote w:type="continuationSeparator" w:id="0">
    <w:p w14:paraId="37777674" w14:textId="77777777" w:rsidR="00B3596E" w:rsidRDefault="00B3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ag Sans-1.4">
    <w:panose1 w:val="00000000000000000000"/>
    <w:charset w:val="00"/>
    <w:family w:val="modern"/>
    <w:notTrueType/>
    <w:pitch w:val="variable"/>
    <w:sig w:usb0="A000086F" w:usb1="4000006A" w:usb2="00000000" w:usb3="00000000" w:csb0="00000021" w:csb1="00000000"/>
  </w:font>
  <w:font w:name="DinamikaMedium">
    <w:altName w:val="Times New Roman"/>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C62C" w14:textId="4BB7BD32" w:rsidR="00D537CB" w:rsidRDefault="00D537CB" w:rsidP="00ED42BD">
    <w:pPr>
      <w:pStyle w:val="a4"/>
      <w:jc w:val="center"/>
      <w:rPr>
        <w:rFonts w:cs="DinamikaMedium"/>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6A3F" w14:textId="77777777" w:rsidR="00B3596E" w:rsidRDefault="00B3596E">
      <w:r>
        <w:separator/>
      </w:r>
    </w:p>
  </w:footnote>
  <w:footnote w:type="continuationSeparator" w:id="0">
    <w:p w14:paraId="41062A6A" w14:textId="77777777" w:rsidR="00B3596E" w:rsidRDefault="00B3596E">
      <w:r>
        <w:continuationSeparator/>
      </w:r>
    </w:p>
  </w:footnote>
  <w:footnote w:id="1">
    <w:p w14:paraId="5C518E3F" w14:textId="77777777" w:rsidR="000863EF" w:rsidRDefault="000863EF" w:rsidP="000863EF">
      <w:pPr>
        <w:pStyle w:val="ac"/>
        <w:rPr>
          <w:rtl/>
        </w:rPr>
      </w:pPr>
      <w:r>
        <w:rPr>
          <w:rStyle w:val="ae"/>
        </w:rPr>
        <w:footnoteRef/>
      </w:r>
      <w:r>
        <w:rPr>
          <w:rtl/>
        </w:rPr>
        <w:t xml:space="preserve"> </w:t>
      </w:r>
      <w:r>
        <w:rPr>
          <w:rFonts w:hint="cs"/>
          <w:rtl/>
        </w:rPr>
        <w:t xml:space="preserve">בהתאם להוראות החוזר המאוחד, שער 5, חלק 2, פרק 4 ניהול נכסי השקעה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183C" w14:textId="2E3D8884" w:rsidR="000614A7" w:rsidRDefault="00660BD0" w:rsidP="005A22AD">
    <w:pPr>
      <w:pStyle w:val="a3"/>
    </w:pPr>
    <w:r>
      <w:rPr>
        <w:noProof/>
      </w:rPr>
      <w:drawing>
        <wp:anchor distT="0" distB="0" distL="114300" distR="114300" simplePos="0" relativeHeight="251658240" behindDoc="0" locked="0" layoutInCell="1" allowOverlap="1" wp14:anchorId="09AB0513" wp14:editId="1CDC3BC9">
          <wp:simplePos x="0" y="0"/>
          <wp:positionH relativeFrom="column">
            <wp:posOffset>2013585</wp:posOffset>
          </wp:positionH>
          <wp:positionV relativeFrom="paragraph">
            <wp:posOffset>104775</wp:posOffset>
          </wp:positionV>
          <wp:extent cx="1980338" cy="694690"/>
          <wp:effectExtent l="0" t="0" r="1270" b="0"/>
          <wp:wrapNone/>
          <wp:docPr id="1543034468" name="תמונה 154303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a:picLocks noChangeAspect="1" noChangeArrowheads="1"/>
                  </pic:cNvPicPr>
                </pic:nvPicPr>
                <pic:blipFill rotWithShape="1">
                  <a:blip r:embed="rId1">
                    <a:extLst>
                      <a:ext uri="{28A0092B-C50C-407E-A947-70E740481C1C}">
                        <a14:useLocalDpi xmlns:a14="http://schemas.microsoft.com/office/drawing/2010/main" val="0"/>
                      </a:ext>
                    </a:extLst>
                  </a:blip>
                  <a:srcRect l="69827" t="20392" r="3752" b="36545"/>
                  <a:stretch/>
                </pic:blipFill>
                <pic:spPr bwMode="auto">
                  <a:xfrm>
                    <a:off x="0" y="0"/>
                    <a:ext cx="1980338"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8A6"/>
    <w:multiLevelType w:val="hybridMultilevel"/>
    <w:tmpl w:val="5CBE4A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E62AFA"/>
    <w:multiLevelType w:val="hybridMultilevel"/>
    <w:tmpl w:val="AE48A0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83125"/>
    <w:multiLevelType w:val="hybridMultilevel"/>
    <w:tmpl w:val="35AC4E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112D44"/>
    <w:multiLevelType w:val="hybridMultilevel"/>
    <w:tmpl w:val="B8481AA4"/>
    <w:lvl w:ilvl="0" w:tplc="7E842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943AF2"/>
    <w:multiLevelType w:val="hybridMultilevel"/>
    <w:tmpl w:val="F5A8D2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55068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6774382">
    <w:abstractNumId w:val="3"/>
  </w:num>
  <w:num w:numId="3" w16cid:durableId="2134592676">
    <w:abstractNumId w:val="0"/>
  </w:num>
  <w:num w:numId="4" w16cid:durableId="1959724308">
    <w:abstractNumId w:val="1"/>
  </w:num>
  <w:num w:numId="5" w16cid:durableId="32598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50"/>
    <w:rsid w:val="00002FC9"/>
    <w:rsid w:val="00003A57"/>
    <w:rsid w:val="00017154"/>
    <w:rsid w:val="00020E2C"/>
    <w:rsid w:val="000329A3"/>
    <w:rsid w:val="00033B6B"/>
    <w:rsid w:val="000614A7"/>
    <w:rsid w:val="0008223E"/>
    <w:rsid w:val="000863EF"/>
    <w:rsid w:val="000A3CEA"/>
    <w:rsid w:val="000A4E60"/>
    <w:rsid w:val="000A6F15"/>
    <w:rsid w:val="000C0271"/>
    <w:rsid w:val="000D2E92"/>
    <w:rsid w:val="000D742A"/>
    <w:rsid w:val="000F3009"/>
    <w:rsid w:val="0010462D"/>
    <w:rsid w:val="001143F6"/>
    <w:rsid w:val="00114A68"/>
    <w:rsid w:val="00187458"/>
    <w:rsid w:val="001C7A0F"/>
    <w:rsid w:val="001E17F1"/>
    <w:rsid w:val="001E6A80"/>
    <w:rsid w:val="001F3929"/>
    <w:rsid w:val="00204628"/>
    <w:rsid w:val="00206B03"/>
    <w:rsid w:val="00212B65"/>
    <w:rsid w:val="002272CF"/>
    <w:rsid w:val="0026103D"/>
    <w:rsid w:val="0027042A"/>
    <w:rsid w:val="002D347E"/>
    <w:rsid w:val="002E0D35"/>
    <w:rsid w:val="002E69C1"/>
    <w:rsid w:val="002F3CD2"/>
    <w:rsid w:val="00304DD6"/>
    <w:rsid w:val="00323257"/>
    <w:rsid w:val="00333963"/>
    <w:rsid w:val="00371B8D"/>
    <w:rsid w:val="003848B3"/>
    <w:rsid w:val="003917A6"/>
    <w:rsid w:val="003944E8"/>
    <w:rsid w:val="003D4050"/>
    <w:rsid w:val="003E3E65"/>
    <w:rsid w:val="003F038B"/>
    <w:rsid w:val="00400A68"/>
    <w:rsid w:val="00404E26"/>
    <w:rsid w:val="0041470D"/>
    <w:rsid w:val="0041632D"/>
    <w:rsid w:val="00423A9E"/>
    <w:rsid w:val="00435F82"/>
    <w:rsid w:val="0044370F"/>
    <w:rsid w:val="00475006"/>
    <w:rsid w:val="00495D56"/>
    <w:rsid w:val="004C3284"/>
    <w:rsid w:val="004C56B0"/>
    <w:rsid w:val="004D1951"/>
    <w:rsid w:val="004F0652"/>
    <w:rsid w:val="005148D1"/>
    <w:rsid w:val="00521293"/>
    <w:rsid w:val="00544161"/>
    <w:rsid w:val="00562ECF"/>
    <w:rsid w:val="005A22AD"/>
    <w:rsid w:val="005A58D1"/>
    <w:rsid w:val="005B6F92"/>
    <w:rsid w:val="005D27F7"/>
    <w:rsid w:val="005D397D"/>
    <w:rsid w:val="005F70E8"/>
    <w:rsid w:val="0065657D"/>
    <w:rsid w:val="006606B6"/>
    <w:rsid w:val="00660BD0"/>
    <w:rsid w:val="00693FF1"/>
    <w:rsid w:val="006B3FFD"/>
    <w:rsid w:val="006B4AA0"/>
    <w:rsid w:val="006F342B"/>
    <w:rsid w:val="0071562A"/>
    <w:rsid w:val="00737371"/>
    <w:rsid w:val="00745E73"/>
    <w:rsid w:val="00752119"/>
    <w:rsid w:val="007A37AA"/>
    <w:rsid w:val="007B1CDB"/>
    <w:rsid w:val="007D548E"/>
    <w:rsid w:val="007E2E53"/>
    <w:rsid w:val="00807C79"/>
    <w:rsid w:val="00852E59"/>
    <w:rsid w:val="0086484B"/>
    <w:rsid w:val="00865C46"/>
    <w:rsid w:val="00883603"/>
    <w:rsid w:val="008A3A14"/>
    <w:rsid w:val="008A74E0"/>
    <w:rsid w:val="008F5AAB"/>
    <w:rsid w:val="00923C51"/>
    <w:rsid w:val="009310DA"/>
    <w:rsid w:val="00931916"/>
    <w:rsid w:val="00963251"/>
    <w:rsid w:val="00990A19"/>
    <w:rsid w:val="00992CC7"/>
    <w:rsid w:val="00995C56"/>
    <w:rsid w:val="009A25F0"/>
    <w:rsid w:val="009B0F03"/>
    <w:rsid w:val="009B2A92"/>
    <w:rsid w:val="009D0A6B"/>
    <w:rsid w:val="009F0D41"/>
    <w:rsid w:val="009F2C99"/>
    <w:rsid w:val="00A0627A"/>
    <w:rsid w:val="00A12E0E"/>
    <w:rsid w:val="00A27C53"/>
    <w:rsid w:val="00A34101"/>
    <w:rsid w:val="00A478AD"/>
    <w:rsid w:val="00A52960"/>
    <w:rsid w:val="00A73DA2"/>
    <w:rsid w:val="00A75672"/>
    <w:rsid w:val="00AB0245"/>
    <w:rsid w:val="00AC513E"/>
    <w:rsid w:val="00AC7770"/>
    <w:rsid w:val="00B01023"/>
    <w:rsid w:val="00B11E20"/>
    <w:rsid w:val="00B15E69"/>
    <w:rsid w:val="00B3596E"/>
    <w:rsid w:val="00B35F0A"/>
    <w:rsid w:val="00B403CC"/>
    <w:rsid w:val="00B4242E"/>
    <w:rsid w:val="00B67202"/>
    <w:rsid w:val="00BB1FF2"/>
    <w:rsid w:val="00BC117E"/>
    <w:rsid w:val="00BD18A7"/>
    <w:rsid w:val="00BE03FC"/>
    <w:rsid w:val="00C01C52"/>
    <w:rsid w:val="00C07F3E"/>
    <w:rsid w:val="00C2108D"/>
    <w:rsid w:val="00C2148A"/>
    <w:rsid w:val="00C43FF0"/>
    <w:rsid w:val="00C52716"/>
    <w:rsid w:val="00C5323D"/>
    <w:rsid w:val="00C648A7"/>
    <w:rsid w:val="00CB60DB"/>
    <w:rsid w:val="00CB66B7"/>
    <w:rsid w:val="00CE0D3B"/>
    <w:rsid w:val="00CE1A59"/>
    <w:rsid w:val="00CE64D8"/>
    <w:rsid w:val="00CF52F5"/>
    <w:rsid w:val="00D12F29"/>
    <w:rsid w:val="00D21AEA"/>
    <w:rsid w:val="00D23C3C"/>
    <w:rsid w:val="00D25E90"/>
    <w:rsid w:val="00D51D30"/>
    <w:rsid w:val="00D537CB"/>
    <w:rsid w:val="00D73252"/>
    <w:rsid w:val="00D9248F"/>
    <w:rsid w:val="00D966A0"/>
    <w:rsid w:val="00DA2CB2"/>
    <w:rsid w:val="00DB7462"/>
    <w:rsid w:val="00DD0673"/>
    <w:rsid w:val="00DE4CAD"/>
    <w:rsid w:val="00E14505"/>
    <w:rsid w:val="00E55816"/>
    <w:rsid w:val="00E57DB4"/>
    <w:rsid w:val="00E62922"/>
    <w:rsid w:val="00E71901"/>
    <w:rsid w:val="00E87098"/>
    <w:rsid w:val="00EC3B0F"/>
    <w:rsid w:val="00ED42BD"/>
    <w:rsid w:val="00EF5866"/>
    <w:rsid w:val="00EF6B01"/>
    <w:rsid w:val="00EF6F97"/>
    <w:rsid w:val="00F02786"/>
    <w:rsid w:val="00F30F3A"/>
    <w:rsid w:val="00F433C2"/>
    <w:rsid w:val="00F54FF0"/>
    <w:rsid w:val="00F57F7E"/>
    <w:rsid w:val="00F63D22"/>
    <w:rsid w:val="00F82C0D"/>
    <w:rsid w:val="00FB4E44"/>
    <w:rsid w:val="00FC0402"/>
    <w:rsid w:val="00FC45A0"/>
    <w:rsid w:val="00FD21D7"/>
    <w:rsid w:val="00FE7A54"/>
    <w:rsid w:val="00FE7E2B"/>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C75BC"/>
  <w15:chartTrackingRefBased/>
  <w15:docId w15:val="{D9256033-EBA6-4726-9CE8-92615ABF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AA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4050"/>
    <w:pPr>
      <w:tabs>
        <w:tab w:val="center" w:pos="4153"/>
        <w:tab w:val="right" w:pos="8306"/>
      </w:tabs>
    </w:pPr>
  </w:style>
  <w:style w:type="paragraph" w:styleId="a4">
    <w:name w:val="footer"/>
    <w:basedOn w:val="a"/>
    <w:link w:val="a5"/>
    <w:rsid w:val="003D4050"/>
    <w:pPr>
      <w:tabs>
        <w:tab w:val="center" w:pos="4153"/>
        <w:tab w:val="right" w:pos="8306"/>
      </w:tabs>
    </w:pPr>
  </w:style>
  <w:style w:type="character" w:customStyle="1" w:styleId="MichaelSchoenfeld">
    <w:name w:val="Michael Schoenfeld"/>
    <w:semiHidden/>
    <w:rsid w:val="00323257"/>
    <w:rPr>
      <w:rFonts w:ascii="David" w:cs="David"/>
      <w:b w:val="0"/>
      <w:bCs w:val="0"/>
      <w:i w:val="0"/>
      <w:iCs w:val="0"/>
      <w:strike w:val="0"/>
      <w:color w:val="0000FF"/>
      <w:sz w:val="24"/>
      <w:szCs w:val="24"/>
      <w:u w:val="none"/>
    </w:rPr>
  </w:style>
  <w:style w:type="paragraph" w:styleId="a6">
    <w:name w:val="Revision"/>
    <w:hidden/>
    <w:uiPriority w:val="99"/>
    <w:semiHidden/>
    <w:rsid w:val="002D347E"/>
    <w:rPr>
      <w:sz w:val="24"/>
      <w:szCs w:val="24"/>
    </w:rPr>
  </w:style>
  <w:style w:type="paragraph" w:styleId="a7">
    <w:name w:val="Balloon Text"/>
    <w:basedOn w:val="a"/>
    <w:link w:val="a8"/>
    <w:rsid w:val="002D347E"/>
    <w:rPr>
      <w:rFonts w:ascii="Tahoma" w:hAnsi="Tahoma" w:cs="Tahoma"/>
      <w:sz w:val="16"/>
      <w:szCs w:val="16"/>
    </w:rPr>
  </w:style>
  <w:style w:type="character" w:customStyle="1" w:styleId="a8">
    <w:name w:val="טקסט בלונים תו"/>
    <w:link w:val="a7"/>
    <w:rsid w:val="002D347E"/>
    <w:rPr>
      <w:rFonts w:ascii="Tahoma" w:hAnsi="Tahoma" w:cs="Tahoma"/>
      <w:sz w:val="16"/>
      <w:szCs w:val="16"/>
    </w:rPr>
  </w:style>
  <w:style w:type="paragraph" w:styleId="a9">
    <w:name w:val="Document Map"/>
    <w:basedOn w:val="a"/>
    <w:link w:val="aa"/>
    <w:rsid w:val="002D347E"/>
    <w:rPr>
      <w:rFonts w:ascii="Tahoma" w:hAnsi="Tahoma" w:cs="Tahoma"/>
      <w:sz w:val="16"/>
      <w:szCs w:val="16"/>
    </w:rPr>
  </w:style>
  <w:style w:type="character" w:customStyle="1" w:styleId="aa">
    <w:name w:val="מפת מסמך תו"/>
    <w:link w:val="a9"/>
    <w:rsid w:val="002D347E"/>
    <w:rPr>
      <w:rFonts w:ascii="Tahoma" w:hAnsi="Tahoma" w:cs="Tahoma"/>
      <w:sz w:val="16"/>
      <w:szCs w:val="16"/>
    </w:rPr>
  </w:style>
  <w:style w:type="paragraph" w:styleId="ab">
    <w:name w:val="List Paragraph"/>
    <w:basedOn w:val="a"/>
    <w:uiPriority w:val="34"/>
    <w:qFormat/>
    <w:rsid w:val="0027042A"/>
    <w:pPr>
      <w:ind w:left="720"/>
    </w:pPr>
  </w:style>
  <w:style w:type="character" w:styleId="Hyperlink">
    <w:name w:val="Hyperlink"/>
    <w:unhideWhenUsed/>
    <w:rsid w:val="00F54FF0"/>
    <w:rPr>
      <w:color w:val="0000FF"/>
      <w:u w:val="single"/>
    </w:rPr>
  </w:style>
  <w:style w:type="character" w:customStyle="1" w:styleId="a5">
    <w:name w:val="כותרת תחתונה תו"/>
    <w:link w:val="a4"/>
    <w:rsid w:val="00D537CB"/>
    <w:rPr>
      <w:sz w:val="24"/>
      <w:szCs w:val="24"/>
    </w:rPr>
  </w:style>
  <w:style w:type="paragraph" w:styleId="ac">
    <w:name w:val="footnote text"/>
    <w:basedOn w:val="a"/>
    <w:link w:val="ad"/>
    <w:rsid w:val="00020E2C"/>
    <w:rPr>
      <w:sz w:val="20"/>
      <w:szCs w:val="20"/>
    </w:rPr>
  </w:style>
  <w:style w:type="character" w:customStyle="1" w:styleId="ad">
    <w:name w:val="טקסט הערת שוליים תו"/>
    <w:basedOn w:val="a0"/>
    <w:link w:val="ac"/>
    <w:rsid w:val="00020E2C"/>
  </w:style>
  <w:style w:type="character" w:styleId="ae">
    <w:name w:val="footnote reference"/>
    <w:basedOn w:val="a0"/>
    <w:rsid w:val="00020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992649">
      <w:bodyDiv w:val="1"/>
      <w:marLeft w:val="750"/>
      <w:marRight w:val="0"/>
      <w:marTop w:val="300"/>
      <w:marBottom w:val="0"/>
      <w:divBdr>
        <w:top w:val="none" w:sz="0" w:space="0" w:color="auto"/>
        <w:left w:val="none" w:sz="0" w:space="0" w:color="auto"/>
        <w:bottom w:val="none" w:sz="0" w:space="0" w:color="auto"/>
        <w:right w:val="none" w:sz="0" w:space="0" w:color="auto"/>
      </w:divBdr>
      <w:divsChild>
        <w:div w:id="1413164357">
          <w:marLeft w:val="0"/>
          <w:marRight w:val="0"/>
          <w:marTop w:val="0"/>
          <w:marBottom w:val="0"/>
          <w:divBdr>
            <w:top w:val="none" w:sz="0" w:space="0" w:color="auto"/>
            <w:left w:val="none" w:sz="0" w:space="0" w:color="auto"/>
            <w:bottom w:val="none" w:sz="0" w:space="0" w:color="auto"/>
            <w:right w:val="none" w:sz="0" w:space="0" w:color="auto"/>
          </w:divBdr>
          <w:divsChild>
            <w:div w:id="16083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546A-B057-43C8-93CF-F789BDD0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3789</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4537</CharactersWithSpaces>
  <SharedDoc>false</SharedDoc>
  <HLinks>
    <vt:vector size="12" baseType="variant">
      <vt:variant>
        <vt:i4>3997715</vt:i4>
      </vt:variant>
      <vt:variant>
        <vt:i4>3</vt:i4>
      </vt:variant>
      <vt:variant>
        <vt:i4>0</vt:i4>
      </vt:variant>
      <vt:variant>
        <vt:i4>5</vt:i4>
      </vt:variant>
      <vt:variant>
        <vt:lpwstr>mailto:amitimmail@amitim.com</vt:lpwstr>
      </vt:variant>
      <vt:variant>
        <vt:lpwstr/>
      </vt:variant>
      <vt:variant>
        <vt:i4>2359338</vt:i4>
      </vt:variant>
      <vt:variant>
        <vt:i4>0</vt:i4>
      </vt:variant>
      <vt:variant>
        <vt:i4>0</vt:i4>
      </vt:variant>
      <vt:variant>
        <vt:i4>5</vt:i4>
      </vt:variant>
      <vt:variant>
        <vt:lpwstr>http://www.amitim.com/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Schoenfeld</dc:creator>
  <cp:keywords/>
  <cp:lastModifiedBy>Inbar Bendayan</cp:lastModifiedBy>
  <cp:revision>2</cp:revision>
  <cp:lastPrinted>2022-03-16T10:12:00Z</cp:lastPrinted>
  <dcterms:created xsi:type="dcterms:W3CDTF">2025-02-09T09:53:00Z</dcterms:created>
  <dcterms:modified xsi:type="dcterms:W3CDTF">2025-02-09T09:53:00Z</dcterms:modified>
</cp:coreProperties>
</file>